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B78" w:rsidRPr="00E5445D" w:rsidRDefault="00C31B78" w:rsidP="00C31B78">
      <w:pPr>
        <w:pStyle w:val="Default"/>
        <w:jc w:val="center"/>
        <w:rPr>
          <w:rFonts w:asciiTheme="minorHAnsi" w:hAnsiTheme="minorHAnsi"/>
          <w:b/>
          <w:sz w:val="28"/>
          <w:szCs w:val="28"/>
        </w:rPr>
      </w:pPr>
      <w:r w:rsidRPr="000D1AD5">
        <w:rPr>
          <w:rFonts w:asciiTheme="minorHAnsi" w:hAnsiTheme="minorHAnsi"/>
          <w:b/>
          <w:sz w:val="28"/>
          <w:szCs w:val="28"/>
        </w:rPr>
        <w:t>Как проверить информацию о недвижимости перед покупкой?</w:t>
      </w:r>
    </w:p>
    <w:p w:rsidR="00C31B78" w:rsidRDefault="00C31B78" w:rsidP="00C31B78">
      <w:pPr>
        <w:pStyle w:val="Default"/>
        <w:rPr>
          <w:rFonts w:asciiTheme="minorHAnsi" w:hAnsiTheme="minorHAnsi"/>
        </w:rPr>
      </w:pPr>
    </w:p>
    <w:p w:rsidR="00C31B78" w:rsidRPr="00F75872" w:rsidRDefault="00C31B78" w:rsidP="00C31B78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Покупка</w:t>
      </w:r>
      <w:r w:rsidRPr="00F75872">
        <w:rPr>
          <w:sz w:val="24"/>
          <w:szCs w:val="24"/>
        </w:rPr>
        <w:t xml:space="preserve"> квартиры или земельного участка </w:t>
      </w:r>
      <w:r>
        <w:rPr>
          <w:sz w:val="24"/>
          <w:szCs w:val="24"/>
        </w:rPr>
        <w:t xml:space="preserve">– дело важное и волнительное. К вопросу нужно подходить с немалой долей ответственности. Чтобы избежать сделки с мошенниками, Кадастровая палата советует </w:t>
      </w:r>
      <w:r w:rsidRPr="00F75872">
        <w:rPr>
          <w:sz w:val="24"/>
          <w:szCs w:val="24"/>
        </w:rPr>
        <w:t>провер</w:t>
      </w:r>
      <w:r>
        <w:rPr>
          <w:sz w:val="24"/>
          <w:szCs w:val="24"/>
        </w:rPr>
        <w:t>я</w:t>
      </w:r>
      <w:r w:rsidRPr="00F75872">
        <w:rPr>
          <w:sz w:val="24"/>
          <w:szCs w:val="24"/>
        </w:rPr>
        <w:t>ть данные о</w:t>
      </w:r>
      <w:r>
        <w:rPr>
          <w:sz w:val="24"/>
          <w:szCs w:val="24"/>
        </w:rPr>
        <w:t>б объекте</w:t>
      </w:r>
      <w:r w:rsidRPr="00F75872">
        <w:rPr>
          <w:sz w:val="24"/>
          <w:szCs w:val="24"/>
        </w:rPr>
        <w:t xml:space="preserve"> недвижимости. </w:t>
      </w:r>
      <w:r w:rsidRPr="004E5E53">
        <w:rPr>
          <w:sz w:val="24"/>
          <w:szCs w:val="24"/>
        </w:rPr>
        <w:t>Чтобы проверить приобретаемую недвижимость на наличие обременений или арестов, потенциальный покупатель может заказать выписку сведений из Единого государственного реестра недвижимости</w:t>
      </w:r>
      <w:r>
        <w:rPr>
          <w:sz w:val="24"/>
          <w:szCs w:val="24"/>
        </w:rPr>
        <w:t xml:space="preserve"> (ЕГРН)</w:t>
      </w:r>
      <w:r w:rsidRPr="004E5E53">
        <w:rPr>
          <w:sz w:val="24"/>
          <w:szCs w:val="24"/>
        </w:rPr>
        <w:t xml:space="preserve"> об объекте недвижимости.</w:t>
      </w:r>
    </w:p>
    <w:p w:rsidR="00C31B78" w:rsidRPr="00F75872" w:rsidRDefault="00C31B78" w:rsidP="00C31B78">
      <w:pPr>
        <w:spacing w:line="360" w:lineRule="auto"/>
        <w:ind w:firstLine="709"/>
        <w:rPr>
          <w:sz w:val="24"/>
          <w:szCs w:val="24"/>
        </w:rPr>
      </w:pPr>
      <w:r w:rsidRPr="00F75872">
        <w:rPr>
          <w:sz w:val="24"/>
          <w:szCs w:val="24"/>
        </w:rPr>
        <w:t>Сведения по объекту недвижимости можно получить, запросив официальный документ в</w:t>
      </w:r>
      <w:r>
        <w:rPr>
          <w:sz w:val="24"/>
          <w:szCs w:val="24"/>
        </w:rPr>
        <w:t xml:space="preserve"> виде выписки из ЕГРН</w:t>
      </w:r>
      <w:r w:rsidRPr="00F75872">
        <w:rPr>
          <w:sz w:val="24"/>
          <w:szCs w:val="24"/>
        </w:rPr>
        <w:t xml:space="preserve"> посредством портала </w:t>
      </w:r>
      <w:hyperlink r:id="rId8" w:history="1">
        <w:r w:rsidRPr="004E5E53">
          <w:rPr>
            <w:rStyle w:val="a9"/>
            <w:sz w:val="24"/>
            <w:szCs w:val="24"/>
          </w:rPr>
          <w:t>Росреестра</w:t>
        </w:r>
      </w:hyperlink>
      <w:r w:rsidRPr="00F75872">
        <w:rPr>
          <w:sz w:val="24"/>
          <w:szCs w:val="24"/>
        </w:rPr>
        <w:t xml:space="preserve">, либо в офисе </w:t>
      </w:r>
      <w:r>
        <w:rPr>
          <w:sz w:val="24"/>
          <w:szCs w:val="24"/>
        </w:rPr>
        <w:t>центра «</w:t>
      </w:r>
      <w:hyperlink r:id="rId9" w:history="1">
        <w:r w:rsidRPr="004E5E53">
          <w:rPr>
            <w:rStyle w:val="a9"/>
            <w:sz w:val="24"/>
            <w:szCs w:val="24"/>
          </w:rPr>
          <w:t>Мои Документы</w:t>
        </w:r>
      </w:hyperlink>
      <w:r>
        <w:rPr>
          <w:sz w:val="24"/>
          <w:szCs w:val="24"/>
        </w:rPr>
        <w:t>».</w:t>
      </w:r>
      <w:r w:rsidRPr="00F75872">
        <w:rPr>
          <w:sz w:val="24"/>
          <w:szCs w:val="24"/>
        </w:rPr>
        <w:t xml:space="preserve"> </w:t>
      </w:r>
    </w:p>
    <w:p w:rsidR="00C31B78" w:rsidRPr="00F75872" w:rsidRDefault="00C31B78" w:rsidP="00C31B78">
      <w:pPr>
        <w:spacing w:line="360" w:lineRule="auto"/>
        <w:ind w:firstLine="709"/>
        <w:rPr>
          <w:sz w:val="24"/>
          <w:szCs w:val="24"/>
        </w:rPr>
      </w:pPr>
      <w:r w:rsidRPr="00F75872">
        <w:rPr>
          <w:sz w:val="24"/>
          <w:szCs w:val="24"/>
        </w:rPr>
        <w:t xml:space="preserve">Сведения, содержащиеся в ЕГРН, предоставляются через портал Росреестра в течение трех рабочих дней, если запрос подан через </w:t>
      </w:r>
      <w:r>
        <w:rPr>
          <w:sz w:val="24"/>
          <w:szCs w:val="24"/>
        </w:rPr>
        <w:t>офис центра «Мои Документы»</w:t>
      </w:r>
      <w:r w:rsidRPr="00F75872">
        <w:rPr>
          <w:sz w:val="24"/>
          <w:szCs w:val="24"/>
        </w:rPr>
        <w:t xml:space="preserve"> - в течение пяти рабочих дней.</w:t>
      </w:r>
    </w:p>
    <w:p w:rsidR="00C31B78" w:rsidRPr="00F75872" w:rsidRDefault="00C31B78" w:rsidP="00C31B78">
      <w:pPr>
        <w:spacing w:line="360" w:lineRule="auto"/>
        <w:ind w:firstLine="709"/>
        <w:rPr>
          <w:sz w:val="24"/>
          <w:szCs w:val="24"/>
        </w:rPr>
      </w:pPr>
      <w:r w:rsidRPr="00F75872">
        <w:rPr>
          <w:sz w:val="24"/>
          <w:szCs w:val="24"/>
        </w:rPr>
        <w:t xml:space="preserve">Сведения в ЕГРН постоянно </w:t>
      </w:r>
      <w:proofErr w:type="gramStart"/>
      <w:r w:rsidRPr="00F75872">
        <w:rPr>
          <w:sz w:val="24"/>
          <w:szCs w:val="24"/>
        </w:rPr>
        <w:t>добавляются и изменяются</w:t>
      </w:r>
      <w:proofErr w:type="gramEnd"/>
      <w:r w:rsidRPr="00F75872">
        <w:rPr>
          <w:sz w:val="24"/>
          <w:szCs w:val="24"/>
        </w:rPr>
        <w:t xml:space="preserve">. Поэтому </w:t>
      </w:r>
      <w:r>
        <w:rPr>
          <w:sz w:val="24"/>
          <w:szCs w:val="24"/>
        </w:rPr>
        <w:t>выписка из ЕГРН</w:t>
      </w:r>
      <w:r w:rsidRPr="00F75872">
        <w:rPr>
          <w:sz w:val="24"/>
          <w:szCs w:val="24"/>
        </w:rPr>
        <w:t xml:space="preserve"> содерж</w:t>
      </w:r>
      <w:r>
        <w:rPr>
          <w:sz w:val="24"/>
          <w:szCs w:val="24"/>
        </w:rPr>
        <w:t>ит</w:t>
      </w:r>
      <w:r w:rsidRPr="00F75872">
        <w:rPr>
          <w:sz w:val="24"/>
          <w:szCs w:val="24"/>
        </w:rPr>
        <w:t xml:space="preserve"> актуальные на дату подготовки</w:t>
      </w:r>
      <w:r>
        <w:rPr>
          <w:sz w:val="24"/>
          <w:szCs w:val="24"/>
        </w:rPr>
        <w:t xml:space="preserve"> документа</w:t>
      </w:r>
      <w:r w:rsidRPr="00F75872">
        <w:rPr>
          <w:sz w:val="24"/>
          <w:szCs w:val="24"/>
        </w:rPr>
        <w:t xml:space="preserve"> сведения. Документ заверя</w:t>
      </w:r>
      <w:r>
        <w:rPr>
          <w:sz w:val="24"/>
          <w:szCs w:val="24"/>
        </w:rPr>
        <w:t>е</w:t>
      </w:r>
      <w:r w:rsidRPr="00F75872">
        <w:rPr>
          <w:sz w:val="24"/>
          <w:szCs w:val="24"/>
        </w:rPr>
        <w:t>тся сотру</w:t>
      </w:r>
      <w:r>
        <w:rPr>
          <w:sz w:val="24"/>
          <w:szCs w:val="24"/>
        </w:rPr>
        <w:t xml:space="preserve">дниками органа регистрации прав, </w:t>
      </w:r>
      <w:r w:rsidRPr="00F75872">
        <w:rPr>
          <w:sz w:val="24"/>
          <w:szCs w:val="24"/>
        </w:rPr>
        <w:t>име</w:t>
      </w:r>
      <w:r>
        <w:rPr>
          <w:sz w:val="24"/>
          <w:szCs w:val="24"/>
        </w:rPr>
        <w:t>е</w:t>
      </w:r>
      <w:r w:rsidRPr="00F75872">
        <w:rPr>
          <w:sz w:val="24"/>
          <w:szCs w:val="24"/>
        </w:rPr>
        <w:t>т юридическую силу</w:t>
      </w:r>
      <w:r>
        <w:rPr>
          <w:sz w:val="24"/>
          <w:szCs w:val="24"/>
        </w:rPr>
        <w:t>, действителен на всей территории страны</w:t>
      </w:r>
      <w:r w:rsidRPr="00F75872">
        <w:rPr>
          <w:sz w:val="24"/>
          <w:szCs w:val="24"/>
        </w:rPr>
        <w:t xml:space="preserve">. </w:t>
      </w:r>
    </w:p>
    <w:p w:rsidR="00C31B78" w:rsidRPr="00F75872" w:rsidRDefault="00C31B78" w:rsidP="00C31B78">
      <w:pPr>
        <w:spacing w:line="360" w:lineRule="auto"/>
        <w:ind w:firstLine="709"/>
        <w:rPr>
          <w:sz w:val="24"/>
          <w:szCs w:val="24"/>
        </w:rPr>
      </w:pPr>
      <w:r w:rsidRPr="00F75872">
        <w:rPr>
          <w:sz w:val="24"/>
          <w:szCs w:val="24"/>
        </w:rPr>
        <w:t xml:space="preserve">С помощью такого документа можно узнать, какие характеристики объекта недвижимости </w:t>
      </w:r>
      <w:r>
        <w:rPr>
          <w:sz w:val="24"/>
          <w:szCs w:val="24"/>
        </w:rPr>
        <w:t>содержатся</w:t>
      </w:r>
      <w:r w:rsidRPr="00F75872">
        <w:rPr>
          <w:sz w:val="24"/>
          <w:szCs w:val="24"/>
        </w:rPr>
        <w:t xml:space="preserve"> в ЕГРН, а также какие права на недвижимость имеются у отдельных лиц. </w:t>
      </w:r>
      <w:r w:rsidRPr="004E5E53">
        <w:rPr>
          <w:sz w:val="24"/>
          <w:szCs w:val="24"/>
        </w:rPr>
        <w:t>Если сведений об объекте в</w:t>
      </w:r>
      <w:r>
        <w:rPr>
          <w:sz w:val="24"/>
          <w:szCs w:val="24"/>
        </w:rPr>
        <w:t xml:space="preserve"> реестре</w:t>
      </w:r>
      <w:r w:rsidRPr="004E5E53">
        <w:rPr>
          <w:sz w:val="24"/>
          <w:szCs w:val="24"/>
        </w:rPr>
        <w:t xml:space="preserve"> нет, необходимо получить справку из органа, который осуществлял регистрацию прав в отношении данного объекта недвижимости.</w:t>
      </w:r>
    </w:p>
    <w:p w:rsidR="00C31B78" w:rsidRPr="00C31B78" w:rsidRDefault="00C31B78" w:rsidP="00C31B78">
      <w:pPr>
        <w:pStyle w:val="Default"/>
        <w:jc w:val="right"/>
        <w:rPr>
          <w:rFonts w:asciiTheme="minorHAnsi" w:hAnsiTheme="minorHAnsi"/>
          <w:i/>
          <w:sz w:val="20"/>
          <w:szCs w:val="20"/>
        </w:rPr>
      </w:pPr>
      <w:r w:rsidRPr="00C31B78">
        <w:rPr>
          <w:rFonts w:asciiTheme="minorHAnsi" w:hAnsiTheme="minorHAnsi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BD3ECD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BD3ECD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BD3ECD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BD3ECD"/>
    <w:rsid w:val="00C31B78"/>
    <w:rsid w:val="00CB2D01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  <w:style w:type="paragraph" w:customStyle="1" w:styleId="Default">
    <w:name w:val="Default"/>
    <w:rsid w:val="00C31B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fc-nso.ru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6FE04-3FFC-4046-8EE7-81782EFC3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Кривощёкова Анна Александровна</cp:lastModifiedBy>
  <cp:revision>36</cp:revision>
  <dcterms:created xsi:type="dcterms:W3CDTF">2016-04-07T02:40:00Z</dcterms:created>
  <dcterms:modified xsi:type="dcterms:W3CDTF">2018-02-05T01:33:00Z</dcterms:modified>
</cp:coreProperties>
</file>