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  <w:lang w:eastAsia="ru-RU"/>
        </w:rPr>
        <w:t xml:space="preserve">ВЕНГЕРОВСКОГО РАЙОНА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  <w:lang w:eastAsia="ru-RU"/>
        </w:rPr>
        <w:t xml:space="preserve">НОВОСИБИРСКОЙ ОБЛАСТИ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четвертого созыва</w:t>
      </w:r>
      <w:r>
        <w:rPr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РЕШЕНИЕ </w:t>
      </w:r>
      <w:r>
        <w:rPr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восемнадцатой сессии</w:t>
      </w:r>
      <w:r>
        <w:rPr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12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.05.2023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№ 225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с.Венгерово</w:t>
      </w:r>
      <w:r>
        <w:rPr>
          <w:b/>
          <w:bCs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pStyle w:val="823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Венгеровского района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от 23.12.2022 № 203 «О бюджете Венгеровского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3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Новосибирской области на 2023 год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3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плановый период 2024 и 2025 годов»</w:t>
      </w:r>
      <w:r/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№ 13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1-ФЗ «Об общих принципах организации местного самоуправления в Российской Федерации», Уставом Венгеровского муниципального  района Новосибирской области, Положением «О бюджетном процессе в Венгеровском районе Новосибирской области», утвержденным решением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овета депутатов Венгеровского района от 22.03.2013 № 238 (с изменением от 20.12.2013 г. № 310, от 25.10.2016 г. № 87, от 20.12.2016 г. № 99, от 30.06.2017 г. № 137, от 27.02.2018 г. № 185, от 20.12.2018 г. № 243, от 12.03.2021 № 49, от 24.12.2021 № 112),  </w:t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Совет депутатов Венгеровского района Новосибирской области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23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РЕШИЛ:</w:t>
      </w:r>
      <w:r/>
    </w:p>
    <w:p>
      <w:pPr>
        <w:pStyle w:val="82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решение Совета депутатов Венгеровского района Новосибирской области от 23.12.2022 № 203 «О бюджете Венгеровского района Новосибирской области на 2023 год и плановый период 2024 и 2025 годов» следующие изменения:</w:t>
      </w:r>
      <w:r/>
      <w:r/>
    </w:p>
    <w:p>
      <w:pPr>
        <w:pStyle w:val="82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части 1</w:t>
      </w:r>
      <w:bookmarkStart w:id="1" w:name="_Hlk11093843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1.1.1</w:t>
      </w:r>
      <w:bookmarkEnd w:id="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пункте 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«1 413 926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407 рублей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копеек» заменить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«1 526 744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,19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«1 278 037 907 рублей 48 копеек» заменить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«1 388 612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744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,19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«1 278 037 907 рублей 48 копеек» заменить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«1 388 612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744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,19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«1 152 591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707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ублей 48 копеек» заменить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«1 263 166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544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,19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2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1.1.2.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пункте 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«1 413 926 407 рублей 48 копеек» заменить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«1 546 554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007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,58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рублей»;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пункте 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тыс.рублей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заменить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«19 809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,39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рублей»;</w:t>
      </w:r>
      <w:r/>
    </w:p>
    <w:p>
      <w:pPr>
        <w:pStyle w:val="823"/>
        <w:ind w:left="0" w:right="0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2" w:name="_Hlk13358721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части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статьи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pStyle w:val="823"/>
        <w:ind w:left="-425" w:right="-141" w:firstLine="8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1.2.1.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пункте 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End w:id="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«931 419 720 рублей 05 копеек» заменить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«944 193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299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,78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«802 910 420 рублей 05 копеек» заменить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«815 683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999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,78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«802 910 420 рублей 05 копеек» заменить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«815 683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999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,78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«725 783 720 рублей 05 копеек» заменить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«738 557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299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,78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«1 095 356 902 рубл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62 копеек» заменить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«1 129 927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785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,77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«958 785 802 рубл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62 копеек» заменить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«993 356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685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,77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«958 785 802 рубл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62 копеек» заменить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«993 356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685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,77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«875 850 702 рубл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62 копеек» заменить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«910 421 585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,77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рублей»;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1.2.2.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пункте 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«931 419 720 рублей 05 копеек» заменить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«944 193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299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,78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 «5 140 900 рублей 00 копеек» заменить словам «5 140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рублей»,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«1 095 356 902 рубл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62 копеек» заменить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«1 129 927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785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,77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слова «10 975 300 рублей 00 копеек» заменить словами «10 975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 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 В пункте 3 слова «на 2024 год в сумме 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тыс.рублей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заменить словами «на 2024 год в сумме 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рублей», слова « на 2025 год в сумме 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тыс.рублей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заменить словами «на 2025 год в сумме 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рублей».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части 3 статьи 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слова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«1 100 000 рублей 60 копеек» заменить словами «1 100 000,60 рублей»;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слова «00 рублей 00 копеек» заменить словами «0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рублей»; слова «00 рублей 00 копеек» заменить словами «0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рублей».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1.4. В части 4 статьи 3 </w:t>
      </w:r>
      <w:bookmarkStart w:id="3" w:name="_Hlk13358712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3 126 600 рублей 00 копеек» заменить словами 3 126 600,00 рублей»</w:t>
      </w:r>
      <w:bookmarkEnd w:id="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слова «3 126 600 рублей 00 копеек» заменить словами 3 126 600,00 рублей», слова «3 126 600 рублей 00 копеек» заменить словами 3 126 600,00 рублей».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1.5. В части 1 статьи 6: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1.5.1.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пункте а) слова «111 555 300 рублей 00 копеек» заменить словами «111 555 300,00 рублей»;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1.5.2. В пункте б) </w:t>
      </w:r>
      <w:bookmarkStart w:id="4" w:name="_Hlk133587479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 «43 710 100 рублей 00 копеек» заменить словами «43 710 100,00 рублей», слова «46 693 800 рублей 00 копеек»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46 693 800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,00 рублей»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5" w:name="_Hlk13358790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части 1 статьи 7: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6" w:name="_Hlk133587806"/>
      <w:r/>
      <w:bookmarkEnd w:id="5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1.6.1. В пункте а) слова «1 800 рублей 00 копеек» заменить словами «1 800,00 рублей»;</w:t>
      </w:r>
      <w:bookmarkEnd w:id="6"/>
      <w:r/>
      <w:bookmarkEnd w:id="4"/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1.6.2. В пункте б) слова «1 800 рублей 00 копеек» заменить словами «1 800,00 рублей»; слова «1 800 рублей 00 копеек» заменить словами «1 800,00 рублей».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части 1 статьи 8: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1.7.1. В пункте 1 слова «</w:t>
      </w:r>
      <w:bookmarkStart w:id="7" w:name="_Hlk13358810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2 699 083</w:t>
      </w:r>
      <w:bookmarkEnd w:id="7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30 копеек» заменить словами «2 699 083,30 рублей»;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1.7.2. В пункте 2 слова «2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 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копеек» заменить словами «2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рублей»;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1.7.3. В пункте 3 слова «</w:t>
      </w:r>
      <w:bookmarkStart w:id="8" w:name="_Hlk13358834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2 935 592 </w:t>
      </w:r>
      <w:bookmarkEnd w:id="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рубля 87 копеек» заменить словами «2 935 592 ,87 рублей»;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части 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«54 488 362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рубл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заменить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«83 830 394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,55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рублей»;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слова «</w:t>
      </w:r>
      <w:bookmarkStart w:id="9" w:name="_Hlk133588745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238 362 рубля </w:t>
      </w:r>
      <w:bookmarkEnd w:id="9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48 копеек» заменить словами «238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362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,48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 «0 тыс.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рублей» заменить словами «0,00 рублей»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Часть 2 статьи 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дополнить пункт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следующего содержания: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на развитие сети учреждений культурно-досугового типа государственной программы Новосибирской области «Культура Новосибирской области» согласно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приложению 18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 настоящему решению.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»;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приобретение оборудования и капитальный ремонт муниципальных учреждений культуры муниципальных образовательных организаций дополнительного образования сферы культуры государственной программы Новосибирской области «Культура Новосибирской области» согласно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приложению 19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 настоящему решению.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части 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10: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пункте 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«26 105 236 рублей 68 копеек» заменить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«6 277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рублей»;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0" w:name="_Hlk13358912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пункте 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«27 224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 00 копеек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заменить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«7 671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,00 рублей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bookmarkEnd w:id="10"/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1.10.3.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пункте 3 слова «26 618 000 рублей 00 копеек» заменить словами «26 618 000,00 рублей»;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части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Start w:id="11" w:name="_Hlk13358935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2023 год в сумме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00 рублей 00 копеек» заменить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bookmarkEnd w:id="1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2023 год в сумме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47 851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547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,12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слова «на 2024 год в сумме 00 рублей 00 копеек» заменить 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«на 2024 год в сумме 19 553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 слова «на 2025 год в сумме 00 рублей 00 копеек» заменить словами «на 2025 год в сумме 0,00 рублей».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ополнить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статью 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частью 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следующего содержания: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«2. Утвердить распределение субсидий из районного бюджета в бюджеты поселений Венгеровского района на 2023 год и плановый период 2024 и 2025 годов»:</w:t>
      </w:r>
      <w:r/>
    </w:p>
    <w:p>
      <w:pPr>
        <w:pStyle w:val="82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1) на реализацию мероприятий по устойчивом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 функционированию автомобильных дорог местного значения и искусственных сооружений на них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согласно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приложению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по строительству и реконструкции объектов централизованных систем холодного водоснабжения и водоотведения подпрограммы «Чистая вода» государственной программы Новосибирской области «Жилищно-коммунальное хозяйство Новосибирской области» согласно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приложению 21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на строительство и реконструкцию (модернизацию) объектов питьевого водоснабжения подпрограммы «Чистая вода» государственной программы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«Жилищно-коммунальное хозяйство Новосибирской области» согласно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приложению 22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на реализацию мероприятий в области использования и охраны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водных объектов и поддержание безопасного технического состояния и гидротехнических сооружений Новосибирской области государственной программы Новосибирской области «Охрана окружающей среды» согласно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приложению 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 статьи 18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Венгеровского района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1 января 2024 года в сумме 0</w:t>
      </w:r>
      <w:r>
        <w:rPr>
          <w:rFonts w:ascii="Times New Roman" w:hAnsi="Times New Roman"/>
          <w:sz w:val="28"/>
          <w:szCs w:val="28"/>
        </w:rPr>
        <w:t xml:space="preserve">,00</w:t>
      </w:r>
      <w:r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Венгеровского района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0</w:t>
      </w:r>
      <w:r>
        <w:rPr>
          <w:rFonts w:ascii="Times New Roman" w:hAnsi="Times New Roman"/>
          <w:sz w:val="28"/>
          <w:szCs w:val="28"/>
        </w:rPr>
        <w:t xml:space="preserve">,00</w:t>
      </w:r>
      <w:r>
        <w:rPr>
          <w:rFonts w:ascii="Times New Roman" w:hAnsi="Times New Roman"/>
          <w:sz w:val="28"/>
          <w:szCs w:val="28"/>
        </w:rPr>
        <w:t xml:space="preserve"> рублей, на 1 января 2025 года в сумме 0</w:t>
      </w:r>
      <w:r>
        <w:rPr>
          <w:rFonts w:ascii="Times New Roman" w:hAnsi="Times New Roman"/>
          <w:sz w:val="28"/>
          <w:szCs w:val="28"/>
        </w:rPr>
        <w:t xml:space="preserve">,00</w:t>
      </w:r>
      <w:r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Венгеровского района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,00</w:t>
      </w:r>
      <w:r>
        <w:rPr>
          <w:rFonts w:ascii="Times New Roman" w:hAnsi="Times New Roman"/>
          <w:sz w:val="28"/>
          <w:szCs w:val="28"/>
        </w:rPr>
        <w:t xml:space="preserve">  рублей, и на 1 января 2026 года в сумме 0</w:t>
      </w:r>
      <w:r>
        <w:rPr>
          <w:rFonts w:ascii="Times New Roman" w:hAnsi="Times New Roman"/>
          <w:sz w:val="28"/>
          <w:szCs w:val="28"/>
        </w:rPr>
        <w:t xml:space="preserve">,00</w:t>
      </w:r>
      <w:r>
        <w:rPr>
          <w:rFonts w:ascii="Times New Roman" w:hAnsi="Times New Roman"/>
          <w:sz w:val="28"/>
          <w:szCs w:val="28"/>
        </w:rPr>
        <w:t xml:space="preserve"> рубле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, в том числе верхний предел долга по муниципальным гарантиям Венгеровского района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0</w:t>
      </w:r>
      <w:r>
        <w:rPr>
          <w:rFonts w:ascii="Times New Roman" w:hAnsi="Times New Roman"/>
          <w:sz w:val="28"/>
          <w:szCs w:val="28"/>
        </w:rPr>
        <w:t xml:space="preserve">,00</w:t>
      </w:r>
      <w:r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».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асть 2 статьи 18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исключить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части 3 статьи 18 после слов «обслуживание муниципального» дополнить словом «внутреннего»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 слова </w:t>
      </w:r>
      <w:bookmarkStart w:id="12" w:name="_Hlk13359066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500 000 рублей </w:t>
      </w:r>
      <w:bookmarkEnd w:id="1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00 копеек» заменить словами «500 000,00 рублей»; слова «00 рублей 00 копеек» заменить словами «0,00 рублей»; слова «00 рублей 00 копеек» заменить словами «0,00 рублей».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риложение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Start w:id="13" w:name="undefined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bookmarkEnd w:id="1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Распределение бюджетных ассигнован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ий районного бюджета по разделам, подразделам, целевым статьям (муниципальным программам и непрограммным направлениям деятельности) группам и подгруппам видов расходов бюджета на 2023 год и плановый период 2024 и 2025 годов» изложить в прилагаемой редакции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риложение 3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видов расходов на 2023 и плановый период 2024 и 2025 годов» изложить в прилагаемой редакции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риложение 4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«Ведомственная структура расходов районного бюджета на 2023 год и плановый период 2024 и 2025 годов» изложить в прилагаемой редакции;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риложени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«Распределение бюджетных ассигнований муниципального дорожного фонда Венгеровского района на 2023 год и плановый период 2024 и 2025 годы» изложить в прилагаемой редакции;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риложение 10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«Распределение иных межбюджетных трансфертов бюджетам поселений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 бюджета Венгеровского района Новосибирской области за счет средств 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Новосибирской области"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изложить в прилагаемой редакции;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риложение 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«Распределение бюджетных ассигнований муниципального дорожного фонда Венгеровского района на 2023 год и плановый период 2024 и 2025 годов», изложить в прилагаемой редакции;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риложение 12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«Источники финансирования дефицита районного бюджета на 2023 год и плановый период 2024 и 2025 годов», изложить в прилагаемой редакции;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риложение 15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«Перечень муниципальных программ, предусмотренных к финансированию из районного бюджета в 2023 году и плановом периоде 2024 и 2025 годов», изложить в прилагаемой редакции;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риложение 16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«Распределение бюджетных ассигнований на капитальные вложения из районного бюджета по направлениям и объектам на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годов», изложить в прилагаемой редакции.</w:t>
      </w:r>
      <w:r/>
    </w:p>
    <w:p>
      <w:pPr>
        <w:pStyle w:val="823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Настоящее решение вступает в силу со дня, следующего за днем 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ального опубликования.</w:t>
      </w:r>
      <w:r/>
    </w:p>
    <w:p>
      <w:pPr>
        <w:pStyle w:val="82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Глава Венгеровского района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Председатель Совета депутатов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Новосибирской области   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Венгеровского района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Новосибирской области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С.Н.Черных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                                                В.Н.Никулич</w:t>
      </w:r>
      <w:r/>
    </w:p>
    <w:p>
      <w:pPr>
        <w:pStyle w:val="8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50"/>
    <w:link w:val="64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50"/>
    <w:link w:val="64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50"/>
    <w:link w:val="64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50"/>
    <w:link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50"/>
    <w:link w:val="645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50"/>
    <w:link w:val="646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50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50"/>
    <w:link w:val="648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50"/>
    <w:link w:val="649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50"/>
    <w:link w:val="662"/>
    <w:uiPriority w:val="10"/>
    <w:rPr>
      <w:sz w:val="48"/>
      <w:szCs w:val="48"/>
    </w:rPr>
  </w:style>
  <w:style w:type="character" w:styleId="36">
    <w:name w:val="Subtitle Char"/>
    <w:basedOn w:val="650"/>
    <w:link w:val="664"/>
    <w:uiPriority w:val="11"/>
    <w:rPr>
      <w:sz w:val="24"/>
      <w:szCs w:val="24"/>
    </w:rPr>
  </w:style>
  <w:style w:type="character" w:styleId="38">
    <w:name w:val="Quote Char"/>
    <w:link w:val="666"/>
    <w:uiPriority w:val="29"/>
    <w:rPr>
      <w:i/>
    </w:rPr>
  </w:style>
  <w:style w:type="character" w:styleId="40">
    <w:name w:val="Intense Quote Char"/>
    <w:link w:val="668"/>
    <w:uiPriority w:val="30"/>
    <w:rPr>
      <w:i/>
    </w:rPr>
  </w:style>
  <w:style w:type="character" w:styleId="42">
    <w:name w:val="Header Char"/>
    <w:basedOn w:val="650"/>
    <w:link w:val="670"/>
    <w:uiPriority w:val="99"/>
  </w:style>
  <w:style w:type="character" w:styleId="46">
    <w:name w:val="Caption Char"/>
    <w:basedOn w:val="674"/>
    <w:link w:val="672"/>
    <w:uiPriority w:val="99"/>
  </w:style>
  <w:style w:type="character" w:styleId="175">
    <w:name w:val="Footnote Text Char"/>
    <w:link w:val="802"/>
    <w:uiPriority w:val="99"/>
    <w:rPr>
      <w:sz w:val="18"/>
    </w:rPr>
  </w:style>
  <w:style w:type="character" w:styleId="178">
    <w:name w:val="Endnote Text Char"/>
    <w:link w:val="805"/>
    <w:uiPriority w:val="99"/>
    <w:rPr>
      <w:sz w:val="20"/>
    </w:rPr>
  </w:style>
  <w:style w:type="paragraph" w:styleId="640" w:default="1">
    <w:name w:val="Normal"/>
    <w:qFormat/>
  </w:style>
  <w:style w:type="paragraph" w:styleId="641">
    <w:name w:val="Heading 1"/>
    <w:basedOn w:val="640"/>
    <w:next w:val="640"/>
    <w:link w:val="65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42">
    <w:name w:val="Heading 2"/>
    <w:basedOn w:val="640"/>
    <w:next w:val="640"/>
    <w:link w:val="65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3">
    <w:name w:val="Heading 3"/>
    <w:basedOn w:val="640"/>
    <w:next w:val="640"/>
    <w:link w:val="65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4">
    <w:name w:val="Heading 4"/>
    <w:basedOn w:val="640"/>
    <w:next w:val="640"/>
    <w:link w:val="65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640"/>
    <w:next w:val="640"/>
    <w:link w:val="65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640"/>
    <w:next w:val="640"/>
    <w:link w:val="65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7">
    <w:name w:val="Heading 7"/>
    <w:basedOn w:val="640"/>
    <w:next w:val="640"/>
    <w:link w:val="65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8">
    <w:name w:val="Heading 8"/>
    <w:basedOn w:val="640"/>
    <w:next w:val="640"/>
    <w:link w:val="66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9">
    <w:name w:val="Heading 9"/>
    <w:basedOn w:val="640"/>
    <w:next w:val="640"/>
    <w:link w:val="66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 w:default="1">
    <w:name w:val="Default Paragraph Font"/>
    <w:uiPriority w:val="1"/>
    <w:semiHidden/>
    <w:unhideWhenUsed/>
  </w:style>
  <w:style w:type="table" w:styleId="6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2" w:default="1">
    <w:name w:val="No List"/>
    <w:uiPriority w:val="99"/>
    <w:semiHidden/>
    <w:unhideWhenUsed/>
  </w:style>
  <w:style w:type="character" w:styleId="653" w:customStyle="1">
    <w:name w:val="Заголовок 1 Знак"/>
    <w:basedOn w:val="650"/>
    <w:link w:val="641"/>
    <w:uiPriority w:val="9"/>
    <w:rPr>
      <w:rFonts w:ascii="Arial" w:hAnsi="Arial" w:eastAsia="Arial" w:cs="Arial"/>
      <w:sz w:val="40"/>
      <w:szCs w:val="40"/>
    </w:rPr>
  </w:style>
  <w:style w:type="character" w:styleId="654" w:customStyle="1">
    <w:name w:val="Заголовок 2 Знак"/>
    <w:basedOn w:val="650"/>
    <w:link w:val="642"/>
    <w:uiPriority w:val="9"/>
    <w:rPr>
      <w:rFonts w:ascii="Arial" w:hAnsi="Arial" w:eastAsia="Arial" w:cs="Arial"/>
      <w:sz w:val="34"/>
    </w:rPr>
  </w:style>
  <w:style w:type="character" w:styleId="655" w:customStyle="1">
    <w:name w:val="Заголовок 3 Знак"/>
    <w:basedOn w:val="650"/>
    <w:link w:val="643"/>
    <w:uiPriority w:val="9"/>
    <w:rPr>
      <w:rFonts w:ascii="Arial" w:hAnsi="Arial" w:eastAsia="Arial" w:cs="Arial"/>
      <w:sz w:val="30"/>
      <w:szCs w:val="30"/>
    </w:rPr>
  </w:style>
  <w:style w:type="character" w:styleId="656" w:customStyle="1">
    <w:name w:val="Заголовок 4 Знак"/>
    <w:basedOn w:val="650"/>
    <w:link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657" w:customStyle="1">
    <w:name w:val="Заголовок 5 Знак"/>
    <w:basedOn w:val="650"/>
    <w:link w:val="645"/>
    <w:uiPriority w:val="9"/>
    <w:rPr>
      <w:rFonts w:ascii="Arial" w:hAnsi="Arial" w:eastAsia="Arial" w:cs="Arial"/>
      <w:b/>
      <w:bCs/>
      <w:sz w:val="24"/>
      <w:szCs w:val="24"/>
    </w:rPr>
  </w:style>
  <w:style w:type="character" w:styleId="658" w:customStyle="1">
    <w:name w:val="Заголовок 6 Знак"/>
    <w:basedOn w:val="650"/>
    <w:link w:val="646"/>
    <w:uiPriority w:val="9"/>
    <w:rPr>
      <w:rFonts w:ascii="Arial" w:hAnsi="Arial" w:eastAsia="Arial" w:cs="Arial"/>
      <w:b/>
      <w:bCs/>
      <w:sz w:val="22"/>
      <w:szCs w:val="22"/>
    </w:rPr>
  </w:style>
  <w:style w:type="character" w:styleId="659" w:customStyle="1">
    <w:name w:val="Заголовок 7 Знак"/>
    <w:basedOn w:val="650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0" w:customStyle="1">
    <w:name w:val="Заголовок 8 Знак"/>
    <w:basedOn w:val="650"/>
    <w:link w:val="648"/>
    <w:uiPriority w:val="9"/>
    <w:rPr>
      <w:rFonts w:ascii="Arial" w:hAnsi="Arial" w:eastAsia="Arial" w:cs="Arial"/>
      <w:i/>
      <w:iCs/>
      <w:sz w:val="22"/>
      <w:szCs w:val="22"/>
    </w:rPr>
  </w:style>
  <w:style w:type="character" w:styleId="661" w:customStyle="1">
    <w:name w:val="Заголовок 9 Знак"/>
    <w:basedOn w:val="650"/>
    <w:link w:val="649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Title"/>
    <w:basedOn w:val="640"/>
    <w:next w:val="640"/>
    <w:link w:val="663"/>
    <w:uiPriority w:val="10"/>
    <w:qFormat/>
    <w:pPr>
      <w:contextualSpacing/>
      <w:spacing w:before="300"/>
    </w:pPr>
    <w:rPr>
      <w:sz w:val="48"/>
      <w:szCs w:val="48"/>
    </w:rPr>
  </w:style>
  <w:style w:type="character" w:styleId="663" w:customStyle="1">
    <w:name w:val="Заголовок Знак"/>
    <w:basedOn w:val="650"/>
    <w:link w:val="662"/>
    <w:uiPriority w:val="10"/>
    <w:rPr>
      <w:sz w:val="48"/>
      <w:szCs w:val="48"/>
    </w:rPr>
  </w:style>
  <w:style w:type="paragraph" w:styleId="664">
    <w:name w:val="Subtitle"/>
    <w:basedOn w:val="640"/>
    <w:next w:val="640"/>
    <w:link w:val="665"/>
    <w:uiPriority w:val="11"/>
    <w:qFormat/>
    <w:pPr>
      <w:spacing w:before="200"/>
    </w:pPr>
    <w:rPr>
      <w:sz w:val="24"/>
      <w:szCs w:val="24"/>
    </w:rPr>
  </w:style>
  <w:style w:type="character" w:styleId="665" w:customStyle="1">
    <w:name w:val="Подзаголовок Знак"/>
    <w:basedOn w:val="650"/>
    <w:link w:val="664"/>
    <w:uiPriority w:val="11"/>
    <w:rPr>
      <w:sz w:val="24"/>
      <w:szCs w:val="24"/>
    </w:rPr>
  </w:style>
  <w:style w:type="paragraph" w:styleId="666">
    <w:name w:val="Quote"/>
    <w:basedOn w:val="640"/>
    <w:next w:val="640"/>
    <w:link w:val="667"/>
    <w:uiPriority w:val="29"/>
    <w:qFormat/>
    <w:pPr>
      <w:ind w:left="720" w:right="720"/>
    </w:pPr>
    <w:rPr>
      <w:i/>
    </w:rPr>
  </w:style>
  <w:style w:type="character" w:styleId="667" w:customStyle="1">
    <w:name w:val="Цитата 2 Знак"/>
    <w:link w:val="666"/>
    <w:uiPriority w:val="29"/>
    <w:rPr>
      <w:i/>
    </w:rPr>
  </w:style>
  <w:style w:type="paragraph" w:styleId="668">
    <w:name w:val="Intense Quote"/>
    <w:basedOn w:val="640"/>
    <w:next w:val="640"/>
    <w:link w:val="6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 w:customStyle="1">
    <w:name w:val="Выделенная цитата Знак"/>
    <w:link w:val="668"/>
    <w:uiPriority w:val="30"/>
    <w:rPr>
      <w:i/>
    </w:rPr>
  </w:style>
  <w:style w:type="paragraph" w:styleId="670">
    <w:name w:val="Header"/>
    <w:basedOn w:val="64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 w:customStyle="1">
    <w:name w:val="Верхний колонтитул Знак"/>
    <w:basedOn w:val="650"/>
    <w:link w:val="670"/>
    <w:uiPriority w:val="99"/>
  </w:style>
  <w:style w:type="paragraph" w:styleId="672">
    <w:name w:val="Footer"/>
    <w:basedOn w:val="64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 w:customStyle="1">
    <w:name w:val="Footer Char"/>
    <w:basedOn w:val="650"/>
    <w:uiPriority w:val="99"/>
  </w:style>
  <w:style w:type="paragraph" w:styleId="674">
    <w:name w:val="Caption"/>
    <w:basedOn w:val="640"/>
    <w:next w:val="64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75" w:customStyle="1">
    <w:name w:val="Нижний колонтитул Знак"/>
    <w:link w:val="672"/>
    <w:uiPriority w:val="99"/>
  </w:style>
  <w:style w:type="table" w:styleId="676" w:customStyle="1">
    <w:name w:val="Table Grid Light"/>
    <w:basedOn w:val="65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7">
    <w:name w:val="Plain Table 1"/>
    <w:basedOn w:val="65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65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2">
    <w:name w:val="Grid Table 1 Light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2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 w:customStyle="1">
    <w:name w:val="Grid Table 4 - Accent 1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5" w:customStyle="1">
    <w:name w:val="Grid Table 4 - Accent 2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6" w:customStyle="1">
    <w:name w:val="Grid Table 4 - Accent 3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7" w:customStyle="1">
    <w:name w:val="Grid Table 4 - Accent 4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08" w:customStyle="1">
    <w:name w:val="Grid Table 4 - Accent 5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09" w:customStyle="1">
    <w:name w:val="Grid Table 4 - Accent 6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0">
    <w:name w:val="Grid Table 5 Dark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7">
    <w:name w:val="Grid Table 6 Colorful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8" w:customStyle="1">
    <w:name w:val="Grid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19" w:customStyle="1">
    <w:name w:val="Grid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0" w:customStyle="1">
    <w:name w:val="Grid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1" w:customStyle="1">
    <w:name w:val="Grid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2" w:customStyle="1">
    <w:name w:val="Grid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3" w:customStyle="1">
    <w:name w:val="Grid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4">
    <w:name w:val="Grid Table 7 Colorful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1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2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3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4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 - Accent 5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6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3" w:customStyle="1">
    <w:name w:val="List Table 2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>
    <w:name w:val="List Table 6 Colorful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7" w:customStyle="1">
    <w:name w:val="List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68" w:customStyle="1">
    <w:name w:val="List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List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0" w:customStyle="1">
    <w:name w:val="List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List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2" w:customStyle="1">
    <w:name w:val="List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3">
    <w:name w:val="List Table 7 Colorful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ned - Accent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1" w:customStyle="1">
    <w:name w:val="Lined - Accent 1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2" w:customStyle="1">
    <w:name w:val="Lined - Accent 2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3" w:customStyle="1">
    <w:name w:val="Lined - Accent 3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4" w:customStyle="1">
    <w:name w:val="Lined - Accent 4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5" w:customStyle="1">
    <w:name w:val="Lined - Accent 5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6" w:customStyle="1">
    <w:name w:val="Lined - Accent 6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7" w:customStyle="1">
    <w:name w:val="Bordered &amp; Lined - Accent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8" w:customStyle="1">
    <w:name w:val="Bordered &amp; Lined - Accent 1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9" w:customStyle="1">
    <w:name w:val="Bordered &amp; Lined - Accent 2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0" w:customStyle="1">
    <w:name w:val="Bordered &amp; Lined - Accent 3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1" w:customStyle="1">
    <w:name w:val="Bordered &amp; Lined - Accent 4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2" w:customStyle="1">
    <w:name w:val="Bordered &amp; Lined - Accent 5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3" w:customStyle="1">
    <w:name w:val="Bordered &amp; Lined - Accent 6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4" w:customStyle="1">
    <w:name w:val="Bordered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5" w:customStyle="1">
    <w:name w:val="Bordered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6" w:customStyle="1">
    <w:name w:val="Bordered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7" w:customStyle="1">
    <w:name w:val="Bordered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98" w:customStyle="1">
    <w:name w:val="Bordered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99" w:customStyle="1">
    <w:name w:val="Bordered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0" w:customStyle="1">
    <w:name w:val="Bordered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01">
    <w:name w:val="Hyperlink"/>
    <w:uiPriority w:val="99"/>
    <w:unhideWhenUsed/>
    <w:rPr>
      <w:color w:val="0000ff" w:themeColor="hyperlink"/>
      <w:u w:val="single"/>
    </w:rPr>
  </w:style>
  <w:style w:type="paragraph" w:styleId="802">
    <w:name w:val="footnote text"/>
    <w:basedOn w:val="640"/>
    <w:link w:val="803"/>
    <w:uiPriority w:val="99"/>
    <w:semiHidden/>
    <w:unhideWhenUsed/>
    <w:pPr>
      <w:spacing w:after="40" w:line="240" w:lineRule="auto"/>
    </w:pPr>
    <w:rPr>
      <w:sz w:val="18"/>
    </w:rPr>
  </w:style>
  <w:style w:type="character" w:styleId="803" w:customStyle="1">
    <w:name w:val="Текст сноски Знак"/>
    <w:link w:val="802"/>
    <w:uiPriority w:val="99"/>
    <w:rPr>
      <w:sz w:val="18"/>
    </w:rPr>
  </w:style>
  <w:style w:type="character" w:styleId="804">
    <w:name w:val="footnote reference"/>
    <w:basedOn w:val="650"/>
    <w:uiPriority w:val="99"/>
    <w:unhideWhenUsed/>
    <w:rPr>
      <w:vertAlign w:val="superscript"/>
    </w:rPr>
  </w:style>
  <w:style w:type="paragraph" w:styleId="805">
    <w:name w:val="endnote text"/>
    <w:basedOn w:val="640"/>
    <w:link w:val="806"/>
    <w:uiPriority w:val="99"/>
    <w:semiHidden/>
    <w:unhideWhenUsed/>
    <w:pPr>
      <w:spacing w:after="0" w:line="240" w:lineRule="auto"/>
    </w:pPr>
    <w:rPr>
      <w:sz w:val="20"/>
    </w:rPr>
  </w:style>
  <w:style w:type="character" w:styleId="806" w:customStyle="1">
    <w:name w:val="Текст концевой сноски Знак"/>
    <w:link w:val="805"/>
    <w:uiPriority w:val="99"/>
    <w:rPr>
      <w:sz w:val="20"/>
    </w:rPr>
  </w:style>
  <w:style w:type="character" w:styleId="807">
    <w:name w:val="endnote reference"/>
    <w:basedOn w:val="650"/>
    <w:uiPriority w:val="99"/>
    <w:semiHidden/>
    <w:unhideWhenUsed/>
    <w:rPr>
      <w:vertAlign w:val="superscript"/>
    </w:rPr>
  </w:style>
  <w:style w:type="paragraph" w:styleId="808">
    <w:name w:val="toc 1"/>
    <w:basedOn w:val="640"/>
    <w:next w:val="640"/>
    <w:uiPriority w:val="39"/>
    <w:unhideWhenUsed/>
    <w:pPr>
      <w:spacing w:after="57"/>
    </w:pPr>
  </w:style>
  <w:style w:type="paragraph" w:styleId="809">
    <w:name w:val="toc 2"/>
    <w:basedOn w:val="640"/>
    <w:next w:val="640"/>
    <w:uiPriority w:val="39"/>
    <w:unhideWhenUsed/>
    <w:pPr>
      <w:ind w:left="283"/>
      <w:spacing w:after="57"/>
    </w:pPr>
  </w:style>
  <w:style w:type="paragraph" w:styleId="810">
    <w:name w:val="toc 3"/>
    <w:basedOn w:val="640"/>
    <w:next w:val="640"/>
    <w:uiPriority w:val="39"/>
    <w:unhideWhenUsed/>
    <w:pPr>
      <w:ind w:left="567"/>
      <w:spacing w:after="57"/>
    </w:pPr>
  </w:style>
  <w:style w:type="paragraph" w:styleId="811">
    <w:name w:val="toc 4"/>
    <w:basedOn w:val="640"/>
    <w:next w:val="640"/>
    <w:uiPriority w:val="39"/>
    <w:unhideWhenUsed/>
    <w:pPr>
      <w:ind w:left="850"/>
      <w:spacing w:after="57"/>
    </w:pPr>
  </w:style>
  <w:style w:type="paragraph" w:styleId="812">
    <w:name w:val="toc 5"/>
    <w:basedOn w:val="640"/>
    <w:next w:val="640"/>
    <w:uiPriority w:val="39"/>
    <w:unhideWhenUsed/>
    <w:pPr>
      <w:ind w:left="1134"/>
      <w:spacing w:after="57"/>
    </w:pPr>
  </w:style>
  <w:style w:type="paragraph" w:styleId="813">
    <w:name w:val="toc 6"/>
    <w:basedOn w:val="640"/>
    <w:next w:val="640"/>
    <w:uiPriority w:val="39"/>
    <w:unhideWhenUsed/>
    <w:pPr>
      <w:ind w:left="1417"/>
      <w:spacing w:after="57"/>
    </w:pPr>
  </w:style>
  <w:style w:type="paragraph" w:styleId="814">
    <w:name w:val="toc 7"/>
    <w:basedOn w:val="640"/>
    <w:next w:val="640"/>
    <w:uiPriority w:val="39"/>
    <w:unhideWhenUsed/>
    <w:pPr>
      <w:ind w:left="1701"/>
      <w:spacing w:after="57"/>
    </w:pPr>
  </w:style>
  <w:style w:type="paragraph" w:styleId="815">
    <w:name w:val="toc 8"/>
    <w:basedOn w:val="640"/>
    <w:next w:val="640"/>
    <w:uiPriority w:val="39"/>
    <w:unhideWhenUsed/>
    <w:pPr>
      <w:ind w:left="1984"/>
      <w:spacing w:after="57"/>
    </w:pPr>
  </w:style>
  <w:style w:type="paragraph" w:styleId="816">
    <w:name w:val="toc 9"/>
    <w:basedOn w:val="640"/>
    <w:next w:val="640"/>
    <w:uiPriority w:val="39"/>
    <w:unhideWhenUsed/>
    <w:pPr>
      <w:ind w:left="2268"/>
      <w:spacing w:after="57"/>
    </w:pPr>
  </w:style>
  <w:style w:type="paragraph" w:styleId="817">
    <w:name w:val="TOC Heading"/>
    <w:uiPriority w:val="39"/>
    <w:unhideWhenUsed/>
  </w:style>
  <w:style w:type="paragraph" w:styleId="818">
    <w:name w:val="table of figures"/>
    <w:basedOn w:val="640"/>
    <w:next w:val="640"/>
    <w:uiPriority w:val="99"/>
    <w:unhideWhenUsed/>
    <w:pPr>
      <w:spacing w:after="0"/>
    </w:pPr>
  </w:style>
  <w:style w:type="paragraph" w:styleId="819">
    <w:name w:val="Balloon Text"/>
    <w:basedOn w:val="640"/>
    <w:link w:val="82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0" w:customStyle="1">
    <w:name w:val="Текст выноски Знак"/>
    <w:basedOn w:val="650"/>
    <w:link w:val="819"/>
    <w:uiPriority w:val="99"/>
    <w:semiHidden/>
    <w:rPr>
      <w:rFonts w:ascii="Segoe UI" w:hAnsi="Segoe UI" w:cs="Segoe UI"/>
      <w:sz w:val="18"/>
      <w:szCs w:val="18"/>
    </w:rPr>
  </w:style>
  <w:style w:type="table" w:styleId="821">
    <w:name w:val="Table Grid"/>
    <w:basedOn w:val="65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22">
    <w:name w:val="List Paragraph"/>
    <w:basedOn w:val="640"/>
    <w:uiPriority w:val="34"/>
    <w:qFormat/>
    <w:pPr>
      <w:contextualSpacing/>
      <w:ind w:left="720"/>
    </w:pPr>
  </w:style>
  <w:style w:type="paragraph" w:styleId="823">
    <w:name w:val="No Spacing"/>
    <w:uiPriority w:val="1"/>
    <w:qFormat/>
    <w:pPr>
      <w:spacing w:after="0" w:line="240" w:lineRule="auto"/>
    </w:pPr>
  </w:style>
  <w:style w:type="character" w:styleId="824">
    <w:name w:val="page number"/>
    <w:basedOn w:val="65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E492-F787-437E-BBEF-303DE9C4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revision>199</cp:revision>
  <dcterms:created xsi:type="dcterms:W3CDTF">2012-12-25T04:18:00Z</dcterms:created>
  <dcterms:modified xsi:type="dcterms:W3CDTF">2023-05-15T03:04:51Z</dcterms:modified>
</cp:coreProperties>
</file>